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47" w:rsidRDefault="00665047" w:rsidP="00665047">
      <w:pPr>
        <w:jc w:val="lef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二：</w:t>
      </w:r>
    </w:p>
    <w:p w:rsidR="00665047" w:rsidRPr="00665047" w:rsidRDefault="00665047" w:rsidP="00665047">
      <w:pPr>
        <w:jc w:val="center"/>
        <w:rPr>
          <w:rFonts w:ascii="方正小标宋简体" w:eastAsia="方正小标宋简体" w:hAnsi="仿宋"/>
          <w:sz w:val="44"/>
          <w:szCs w:val="44"/>
        </w:rPr>
      </w:pPr>
      <w:r w:rsidRPr="00665047">
        <w:rPr>
          <w:rFonts w:ascii="方正小标宋简体" w:eastAsia="方正小标宋简体" w:hAnsi="仿宋" w:hint="eastAsia"/>
          <w:sz w:val="44"/>
          <w:szCs w:val="44"/>
        </w:rPr>
        <w:t>司法部涉外律师人才库入库标准</w:t>
      </w:r>
    </w:p>
    <w:p w:rsidR="00665047" w:rsidRDefault="00665047" w:rsidP="00665047">
      <w:pPr>
        <w:jc w:val="center"/>
        <w:rPr>
          <w:rFonts w:ascii="仿宋" w:eastAsia="仿宋" w:hAnsi="仿宋"/>
          <w:sz w:val="32"/>
          <w:szCs w:val="32"/>
        </w:rPr>
      </w:pPr>
    </w:p>
    <w:p w:rsidR="00665047" w:rsidRDefault="00665047" w:rsidP="00665047">
      <w:pPr>
        <w:ind w:firstLineChars="200" w:firstLine="640"/>
        <w:rPr>
          <w:rFonts w:ascii="黑体" w:eastAsia="黑体" w:hAnsi="黑体"/>
          <w:sz w:val="32"/>
          <w:szCs w:val="32"/>
        </w:rPr>
      </w:pPr>
      <w:r>
        <w:rPr>
          <w:rFonts w:ascii="黑体" w:eastAsia="黑体" w:hAnsi="黑体" w:hint="eastAsia"/>
          <w:sz w:val="32"/>
          <w:szCs w:val="32"/>
        </w:rPr>
        <w:t>一、专业领域</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涉外律师人才库按照如下涉外专业领域进行分类：</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)国际经济合作。包括国际经济对话，国际组织谈判，双边或多边经贸协定，政府投资协定谈判等;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(二)国际贸易。包括WTO争端解决，反垄断，反倾销、反补贴及保障措施，美国337调查、301调查，国际货物买卖，跨境电子商务，海关事务等；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(三)跨境投资。包括境外绿地投资，跨境股权并购，跨境资产交易，境外设立法人或分支机构，反商业贿赂、反腐败等;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(四)金融与资本市场。包括跨境贷款，境外发债，国际融资，互联网金融，境外上市，涉外基金、信托等;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(五)能源与基础设施。包括境外基础设施投资与建设，国际能源勘探与开发等;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(六)海商海事。包括船舶，航运，海损，海洋养殖，海事特别程序等;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(七)跨国犯罪与追逃追赃。包括跨国毒品、洗钱、腐败、恐怖主义等犯罪，追逃追赃，国际刑事司法协助等;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(八)知识产权及信息安全。包括涉外专利、商标、著作</w:t>
      </w:r>
      <w:r>
        <w:rPr>
          <w:rFonts w:ascii="仿宋" w:eastAsia="仿宋" w:hAnsi="仿宋" w:hint="eastAsia"/>
          <w:sz w:val="32"/>
          <w:szCs w:val="32"/>
        </w:rPr>
        <w:lastRenderedPageBreak/>
        <w:t>权、商业秘密保护，涉外知识产权交易，国际网络信息安全，涉外知识产权争议等;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(九)民商事诉讼与仲裁。包括涉外民商事诉讼、仲裁及相关执行，替代性争议解决等。</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参加涉外律师人才申报的律师按照上述分类选择专业领域，所选专业领域不超过2项。</w:t>
      </w:r>
    </w:p>
    <w:p w:rsidR="00665047" w:rsidRDefault="00665047" w:rsidP="00665047">
      <w:pPr>
        <w:ind w:firstLineChars="200" w:firstLine="640"/>
        <w:rPr>
          <w:rFonts w:ascii="黑体" w:eastAsia="黑体" w:hAnsi="黑体"/>
          <w:sz w:val="32"/>
          <w:szCs w:val="32"/>
        </w:rPr>
      </w:pPr>
      <w:r>
        <w:rPr>
          <w:rFonts w:ascii="黑体" w:eastAsia="黑体" w:hAnsi="黑体" w:hint="eastAsia"/>
          <w:sz w:val="32"/>
          <w:szCs w:val="32"/>
        </w:rPr>
        <w:t>二、入库条件</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参加涉外律师人才申报的律师应当符合以下条件：</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)拥护党的领导，拥护宪法和法律，拥护社会主义法治;自觉遵守宪法、法律和律师执业行为规范，恪守律师职业道德和执业纪律;</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(二)具有中华人民共和国律师执业证书(港、澳、台地区除外)，并具有8年以上涉外法律服务工作经历;</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(三)以涉外法律服务为主要业务，熟练掌握至少一种外语，并可以作为工作语言;</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(四)在某一个或多个业务领域具有突出表现，以下条件须至少满足1项：</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1、担任我国政府部门法律顾问并提供涉外法律服务(不少于3年)，或曾多次协助政府部门处理国际政治、经济相关法律问题;</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2、作为主办律师多次为中外企业重大涉外经济活动提供非诉法律服务(不少于10件)，并取得良好效果;</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lastRenderedPageBreak/>
        <w:t>3、作为主办律师多次代表中外企业在重大涉外民商事纠纷中提供诉讼代理服务(不少于10件)，并取得良好效果;</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4、作为主办律师多次办理重大涉外法律事务(不少于3件)，对维护我国国际声誉、促进我国企业“走出去”发挥重要作用或挽回重大经济损失;</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5、具有涉外诉讼、仲裁、调解工作经历(不少于3年且办理涉外案件不少于5件)，或具有企业涉外法律事务部门工作经历(不少于3年)，或具有行政机关涉外部门工作经历(不少于3年)，上述年限计入本条第(二)款所述年限;</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(五)执业以来没有任何不良记录，包括党纪处分、行政处罚、行业惩戒或其他不良执业记录。</w:t>
      </w:r>
    </w:p>
    <w:p w:rsidR="00665047" w:rsidRDefault="00665047" w:rsidP="00665047">
      <w:pPr>
        <w:ind w:firstLineChars="200" w:firstLine="640"/>
        <w:rPr>
          <w:rFonts w:ascii="仿宋" w:eastAsia="仿宋" w:hAnsi="仿宋"/>
          <w:sz w:val="32"/>
          <w:szCs w:val="32"/>
        </w:rPr>
      </w:pPr>
      <w:r>
        <w:rPr>
          <w:rFonts w:ascii="仿宋" w:eastAsia="仿宋" w:hAnsi="仿宋" w:hint="eastAsia"/>
          <w:sz w:val="32"/>
          <w:szCs w:val="32"/>
        </w:rPr>
        <w:t>本通知下发前已入选全国律协涉外律师领军人才库的律师，可以参加涉外律师人才申报。</w:t>
      </w:r>
    </w:p>
    <w:p w:rsidR="006C19E1" w:rsidRPr="00665047" w:rsidRDefault="006C19E1">
      <w:bookmarkStart w:id="0" w:name="_GoBack"/>
      <w:bookmarkEnd w:id="0"/>
    </w:p>
    <w:sectPr w:rsidR="006C19E1" w:rsidRPr="00665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47"/>
    <w:rsid w:val="00665047"/>
    <w:rsid w:val="006C19E1"/>
    <w:rsid w:val="0081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066E"/>
  <w15:chartTrackingRefBased/>
  <w15:docId w15:val="{19D677B2-CDF2-4F7E-81C5-4171780A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4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2019-05-16T08:20:00Z</dcterms:created>
  <dcterms:modified xsi:type="dcterms:W3CDTF">2019-05-21T01:43:00Z</dcterms:modified>
</cp:coreProperties>
</file>